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2024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年广州开发区 广州市黄埔区高价值专利培育布局中心建设单位公示名单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165"/>
        <w:gridCol w:w="3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  <w:lang w:eastAsia="zh-CN"/>
              </w:rPr>
              <w:t>企业名称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  <w:lang w:eastAsia="zh-CN"/>
              </w:rPr>
              <w:t>联合申报单位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广州金升阳科技有限公司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广东聚创智合知识产权代理有限公司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广州鹿山新材料股份有限公司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广州品源知识产权管理咨询有限公司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广州天赐高新材料股份有限公司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中船黄埔文冲船舶有限公司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广电运通集团股份有限公司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广州达意隆包装机械股份有限公司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广州品源知识产权管理咨询有限公司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广州朗国电子科技股份有限公司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广州三环专利商标代理有限公司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高勘（广州）技术有限公司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广州智丰知识产权代理事务所（普通合伙）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广州小鹏自动驾驶科技有限公司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奥动新能源汽车科技有限公司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中汽知识产权（广州）有限公司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广州万孚生物技术股份有限公司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广州品源知识产权管理咨询有限公司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广州文远知行科技有限公司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广州广合科技股份有限公司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亿航智能设备（广州）有限公司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广州环亚化妆品科技股份有限公司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广东丸美生物技术股份有限公司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广州科莱瑞迪医疗器材股份有限公司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广州粤高专利商标代理有限公司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广州黑格智造信息科技有限公司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广州骏思知识产权代理有限公司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广州爱浦路网络技术有限公司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广州三聚阳光知识产权服务有限公司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</w:t>
            </w:r>
          </w:p>
        </w:tc>
        <w:tc>
          <w:tcPr>
            <w:tcW w:w="4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慕恩（广州）生物科技有限公司</w:t>
            </w:r>
          </w:p>
        </w:tc>
        <w:tc>
          <w:tcPr>
            <w:tcW w:w="3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  <w:lang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4AA0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2024-04-18T02:18:25Z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97808708EE1549C1AA6136C8128C6752_12</vt:lpwstr>
  </property>
</Properties>
</file>